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3D" w:rsidRPr="005A303D" w:rsidRDefault="005A303D" w:rsidP="005A303D">
      <w:pPr>
        <w:jc w:val="center"/>
        <w:rPr>
          <w:rFonts w:ascii="Courier" w:hAnsi="Courier" w:cs="Courier"/>
          <w:b/>
          <w:bCs/>
          <w:color w:val="5B2C6F"/>
          <w:sz w:val="28"/>
          <w:szCs w:val="28"/>
        </w:rPr>
      </w:pPr>
      <w:r w:rsidRPr="005A303D">
        <w:rPr>
          <w:rFonts w:ascii="Arial" w:hAnsi="Arial" w:cs="Arial"/>
          <w:b/>
          <w:bCs/>
          <w:sz w:val="28"/>
          <w:szCs w:val="28"/>
        </w:rPr>
        <w:t>STRATEGY DEVELOPMENT AND DEPLOYMENT</w:t>
      </w:r>
    </w:p>
    <w:tbl>
      <w:tblPr>
        <w:tblStyle w:val="TableGrid"/>
        <w:tblW w:w="9606" w:type="dxa"/>
        <w:tblLook w:val="04A0"/>
      </w:tblPr>
      <w:tblGrid>
        <w:gridCol w:w="3080"/>
        <w:gridCol w:w="6526"/>
      </w:tblGrid>
      <w:tr w:rsidR="00714E7E" w:rsidTr="00714E7E">
        <w:tc>
          <w:tcPr>
            <w:tcW w:w="3080" w:type="dxa"/>
          </w:tcPr>
          <w:p w:rsidR="00714E7E" w:rsidRPr="005A303D" w:rsidRDefault="00714E7E" w:rsidP="005A303D">
            <w:pPr>
              <w:jc w:val="center"/>
              <w:rPr>
                <w:b/>
                <w:sz w:val="24"/>
                <w:szCs w:val="24"/>
              </w:rPr>
            </w:pPr>
            <w:r w:rsidRPr="005A303D">
              <w:rPr>
                <w:rFonts w:ascii="Arial" w:hAnsi="Arial" w:cs="Arial"/>
                <w:b/>
                <w:sz w:val="24"/>
                <w:szCs w:val="24"/>
              </w:rPr>
              <w:t>Strategy Type</w:t>
            </w:r>
          </w:p>
        </w:tc>
        <w:tc>
          <w:tcPr>
            <w:tcW w:w="6526" w:type="dxa"/>
          </w:tcPr>
          <w:p w:rsidR="00714E7E" w:rsidRPr="005A303D" w:rsidRDefault="00714E7E" w:rsidP="005A303D">
            <w:pPr>
              <w:jc w:val="center"/>
            </w:pPr>
            <w:r w:rsidRPr="005A303D">
              <w:rPr>
                <w:rFonts w:ascii="Arial" w:hAnsi="Arial" w:cs="Arial"/>
                <w:sz w:val="24"/>
                <w:szCs w:val="20"/>
              </w:rPr>
              <w:t>Details</w:t>
            </w:r>
          </w:p>
        </w:tc>
      </w:tr>
      <w:tr w:rsidR="00714E7E" w:rsidRPr="005A303D" w:rsidTr="00714E7E">
        <w:tc>
          <w:tcPr>
            <w:tcW w:w="3080" w:type="dxa"/>
          </w:tcPr>
          <w:p w:rsidR="00714E7E" w:rsidRPr="005A303D" w:rsidRDefault="00714E7E" w:rsidP="00714E7E">
            <w:pPr>
              <w:rPr>
                <w:rFonts w:ascii="Times New Roman" w:hAnsi="Times New Roman" w:cs="Times New Roman"/>
              </w:rPr>
            </w:pPr>
            <w:r w:rsidRPr="005A303D">
              <w:rPr>
                <w:rFonts w:ascii="Times New Roman" w:hAnsi="Times New Roman" w:cs="Times New Roman"/>
                <w:b/>
                <w:bCs/>
                <w:sz w:val="21"/>
                <w:szCs w:val="21"/>
              </w:rPr>
              <w:t>Curriculum Development</w:t>
            </w:r>
          </w:p>
        </w:tc>
        <w:tc>
          <w:tcPr>
            <w:tcW w:w="6526"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 xml:space="preserve">A curriculum development is an important process of improving the </w:t>
            </w:r>
            <w:proofErr w:type="spellStart"/>
            <w:r w:rsidRPr="005A303D">
              <w:rPr>
                <w:rFonts w:ascii="Times New Roman" w:hAnsi="Times New Roman" w:cs="Times New Roman"/>
                <w:b/>
                <w:bCs/>
                <w:sz w:val="21"/>
                <w:szCs w:val="21"/>
              </w:rPr>
              <w:t>curriculam</w:t>
            </w:r>
            <w:proofErr w:type="spellEnd"/>
            <w:r w:rsidRPr="005A303D">
              <w:rPr>
                <w:rFonts w:ascii="Times New Roman" w:hAnsi="Times New Roman" w:cs="Times New Roman"/>
                <w:b/>
                <w:bCs/>
                <w:sz w:val="21"/>
                <w:szCs w:val="21"/>
              </w:rPr>
              <w:t>. Each department adopts different techniques to deliver effective curriculum by framing Road map, Lesson plan, Calendar of events etc. The institution insures program outcomes and program specific outcomes</w:t>
            </w:r>
          </w:p>
          <w:p w:rsidR="00714E7E" w:rsidRPr="005A303D" w:rsidRDefault="00714E7E" w:rsidP="00714E7E">
            <w:pPr>
              <w:autoSpaceDE w:val="0"/>
              <w:autoSpaceDN w:val="0"/>
              <w:adjustRightInd w:val="0"/>
              <w:rPr>
                <w:rFonts w:ascii="Times New Roman" w:hAnsi="Times New Roman" w:cs="Times New Roman"/>
                <w:b/>
                <w:bCs/>
                <w:sz w:val="21"/>
                <w:szCs w:val="21"/>
              </w:rPr>
            </w:pPr>
            <w:proofErr w:type="gramStart"/>
            <w:r w:rsidRPr="005A303D">
              <w:rPr>
                <w:rFonts w:ascii="Times New Roman" w:hAnsi="Times New Roman" w:cs="Times New Roman"/>
                <w:b/>
                <w:bCs/>
                <w:sz w:val="21"/>
                <w:szCs w:val="21"/>
              </w:rPr>
              <w:t>by</w:t>
            </w:r>
            <w:proofErr w:type="gramEnd"/>
            <w:r w:rsidRPr="005A303D">
              <w:rPr>
                <w:rFonts w:ascii="Times New Roman" w:hAnsi="Times New Roman" w:cs="Times New Roman"/>
                <w:b/>
                <w:bCs/>
                <w:sz w:val="21"/>
                <w:szCs w:val="21"/>
              </w:rPr>
              <w:t xml:space="preserve"> adopting educational tools. A planned, progressive and systematic process is adopted to bring positive improvements in the stake holders.</w:t>
            </w:r>
          </w:p>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Curriculum designed by the University is planned in such a way in our institution that each student</w:t>
            </w:r>
          </w:p>
          <w:p w:rsidR="00714E7E" w:rsidRPr="005A303D" w:rsidRDefault="00714E7E" w:rsidP="00714E7E">
            <w:pPr>
              <w:autoSpaceDE w:val="0"/>
              <w:autoSpaceDN w:val="0"/>
              <w:adjustRightInd w:val="0"/>
              <w:rPr>
                <w:rFonts w:ascii="Times New Roman" w:hAnsi="Times New Roman" w:cs="Times New Roman"/>
                <w:b/>
                <w:bCs/>
                <w:sz w:val="21"/>
                <w:szCs w:val="21"/>
              </w:rPr>
            </w:pPr>
            <w:proofErr w:type="gramStart"/>
            <w:r w:rsidRPr="005A303D">
              <w:rPr>
                <w:rFonts w:ascii="Times New Roman" w:hAnsi="Times New Roman" w:cs="Times New Roman"/>
                <w:b/>
                <w:bCs/>
                <w:sz w:val="21"/>
                <w:szCs w:val="21"/>
              </w:rPr>
              <w:t>understands</w:t>
            </w:r>
            <w:proofErr w:type="gramEnd"/>
            <w:r w:rsidRPr="005A303D">
              <w:rPr>
                <w:rFonts w:ascii="Times New Roman" w:hAnsi="Times New Roman" w:cs="Times New Roman"/>
                <w:b/>
                <w:bCs/>
                <w:sz w:val="21"/>
                <w:szCs w:val="21"/>
              </w:rPr>
              <w:t xml:space="preserve"> the subject in depth and get good result as majority of them comes from uneducated background.</w:t>
            </w:r>
          </w:p>
        </w:tc>
      </w:tr>
      <w:tr w:rsidR="00714E7E" w:rsidRPr="005A303D" w:rsidTr="00714E7E">
        <w:tc>
          <w:tcPr>
            <w:tcW w:w="3080" w:type="dxa"/>
          </w:tcPr>
          <w:p w:rsidR="00714E7E" w:rsidRPr="005A303D" w:rsidRDefault="00714E7E" w:rsidP="00714E7E">
            <w:pPr>
              <w:autoSpaceDE w:val="0"/>
              <w:autoSpaceDN w:val="0"/>
              <w:adjustRightInd w:val="0"/>
              <w:rPr>
                <w:rFonts w:ascii="Times New Roman" w:hAnsi="Times New Roman" w:cs="Times New Roman"/>
              </w:rPr>
            </w:pPr>
            <w:r w:rsidRPr="005A303D">
              <w:rPr>
                <w:rFonts w:ascii="Times New Roman" w:hAnsi="Times New Roman" w:cs="Times New Roman"/>
                <w:b/>
                <w:bCs/>
                <w:sz w:val="21"/>
                <w:szCs w:val="21"/>
              </w:rPr>
              <w:t xml:space="preserve">Teaching and Learning </w:t>
            </w:r>
          </w:p>
          <w:p w:rsidR="00714E7E" w:rsidRPr="005A303D" w:rsidRDefault="00714E7E" w:rsidP="00714E7E">
            <w:pPr>
              <w:rPr>
                <w:rFonts w:ascii="Times New Roman" w:hAnsi="Times New Roman" w:cs="Times New Roman"/>
              </w:rPr>
            </w:pPr>
          </w:p>
        </w:tc>
        <w:tc>
          <w:tcPr>
            <w:tcW w:w="6526"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To make teaching learning experience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more effective, ICT tools such as smart</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board, projectors etc are used. Slow</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learners and advanced learners are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identified at the beginning of the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academic </w:t>
            </w:r>
            <w:proofErr w:type="gramStart"/>
            <w:r w:rsidRPr="005A303D">
              <w:rPr>
                <w:rFonts w:ascii="Times New Roman" w:hAnsi="Times New Roman" w:cs="Times New Roman"/>
                <w:b/>
                <w:bCs/>
                <w:sz w:val="21"/>
                <w:szCs w:val="21"/>
              </w:rPr>
              <w:t>year .</w:t>
            </w:r>
            <w:proofErr w:type="gramEnd"/>
            <w:r w:rsidRPr="005A303D">
              <w:rPr>
                <w:rFonts w:ascii="Times New Roman" w:hAnsi="Times New Roman" w:cs="Times New Roman"/>
                <w:b/>
                <w:bCs/>
                <w:sz w:val="21"/>
                <w:szCs w:val="21"/>
              </w:rPr>
              <w:t xml:space="preserve"> Slow learners are given</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special attention by conducting</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remedial classes and advanced learners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are encouraged to actively participate</w:t>
            </w:r>
          </w:p>
          <w:p w:rsidR="00714E7E" w:rsidRPr="005A303D" w:rsidRDefault="00714E7E" w:rsidP="005A303D">
            <w:pPr>
              <w:autoSpaceDE w:val="0"/>
              <w:autoSpaceDN w:val="0"/>
              <w:adjustRightInd w:val="0"/>
              <w:rPr>
                <w:rFonts w:ascii="Times New Roman" w:hAnsi="Times New Roman" w:cs="Times New Roman"/>
                <w:b/>
                <w:bCs/>
                <w:sz w:val="21"/>
                <w:szCs w:val="21"/>
              </w:rPr>
            </w:pPr>
            <w:proofErr w:type="gramStart"/>
            <w:r w:rsidRPr="005A303D">
              <w:rPr>
                <w:rFonts w:ascii="Times New Roman" w:hAnsi="Times New Roman" w:cs="Times New Roman"/>
                <w:b/>
                <w:bCs/>
                <w:sz w:val="21"/>
                <w:szCs w:val="21"/>
              </w:rPr>
              <w:t>in</w:t>
            </w:r>
            <w:proofErr w:type="gramEnd"/>
            <w:r w:rsidRPr="005A303D">
              <w:rPr>
                <w:rFonts w:ascii="Times New Roman" w:hAnsi="Times New Roman" w:cs="Times New Roman"/>
                <w:b/>
                <w:bCs/>
                <w:sz w:val="21"/>
                <w:szCs w:val="21"/>
              </w:rPr>
              <w:t xml:space="preserve"> all the activities, to contest for</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the elections of students council. They</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also help in organizing events in the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college.</w:t>
            </w:r>
          </w:p>
        </w:tc>
      </w:tr>
      <w:tr w:rsidR="00714E7E" w:rsidRPr="005A303D" w:rsidTr="00714E7E">
        <w:tc>
          <w:tcPr>
            <w:tcW w:w="3080" w:type="dxa"/>
          </w:tcPr>
          <w:p w:rsidR="00714E7E" w:rsidRPr="005A303D" w:rsidRDefault="00714E7E" w:rsidP="00714E7E">
            <w:pPr>
              <w:rPr>
                <w:rFonts w:ascii="Times New Roman" w:hAnsi="Times New Roman" w:cs="Times New Roman"/>
              </w:rPr>
            </w:pPr>
            <w:r w:rsidRPr="005A303D">
              <w:rPr>
                <w:rFonts w:ascii="Times New Roman" w:hAnsi="Times New Roman" w:cs="Times New Roman"/>
                <w:b/>
                <w:bCs/>
                <w:sz w:val="21"/>
                <w:szCs w:val="21"/>
              </w:rPr>
              <w:t>Examination and Evaluation</w:t>
            </w:r>
          </w:p>
        </w:tc>
        <w:tc>
          <w:tcPr>
            <w:tcW w:w="6526"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The examination is conducted as per</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the B</w:t>
            </w:r>
            <w:r w:rsidR="005A303D">
              <w:rPr>
                <w:rFonts w:ascii="Times New Roman" w:hAnsi="Times New Roman" w:cs="Times New Roman"/>
                <w:b/>
                <w:bCs/>
                <w:sz w:val="21"/>
                <w:szCs w:val="21"/>
              </w:rPr>
              <w:t>e</w:t>
            </w:r>
            <w:r w:rsidRPr="005A303D">
              <w:rPr>
                <w:rFonts w:ascii="Times New Roman" w:hAnsi="Times New Roman" w:cs="Times New Roman"/>
                <w:b/>
                <w:bCs/>
                <w:sz w:val="21"/>
                <w:szCs w:val="21"/>
              </w:rPr>
              <w:t>ngal</w:t>
            </w:r>
            <w:r w:rsidR="005A303D">
              <w:rPr>
                <w:rFonts w:ascii="Times New Roman" w:hAnsi="Times New Roman" w:cs="Times New Roman"/>
                <w:b/>
                <w:bCs/>
                <w:sz w:val="21"/>
                <w:szCs w:val="21"/>
              </w:rPr>
              <w:t>uru</w:t>
            </w:r>
            <w:r w:rsidRPr="005A303D">
              <w:rPr>
                <w:rFonts w:ascii="Times New Roman" w:hAnsi="Times New Roman" w:cs="Times New Roman"/>
                <w:b/>
                <w:bCs/>
                <w:sz w:val="21"/>
                <w:szCs w:val="21"/>
              </w:rPr>
              <w:t xml:space="preserve"> C</w:t>
            </w:r>
            <w:r w:rsidR="005A303D">
              <w:rPr>
                <w:rFonts w:ascii="Times New Roman" w:hAnsi="Times New Roman" w:cs="Times New Roman"/>
                <w:b/>
                <w:bCs/>
                <w:sz w:val="21"/>
                <w:szCs w:val="21"/>
              </w:rPr>
              <w:t>ity</w:t>
            </w:r>
            <w:r w:rsidRPr="005A303D">
              <w:rPr>
                <w:rFonts w:ascii="Times New Roman" w:hAnsi="Times New Roman" w:cs="Times New Roman"/>
                <w:b/>
                <w:bCs/>
                <w:sz w:val="21"/>
                <w:szCs w:val="21"/>
              </w:rPr>
              <w:t xml:space="preserve"> University</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guidelines and it follows CBCS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evaluation system. </w:t>
            </w:r>
            <w:proofErr w:type="gramStart"/>
            <w:r w:rsidRPr="005A303D">
              <w:rPr>
                <w:rFonts w:ascii="Times New Roman" w:hAnsi="Times New Roman" w:cs="Times New Roman"/>
                <w:b/>
                <w:bCs/>
                <w:sz w:val="21"/>
                <w:szCs w:val="21"/>
              </w:rPr>
              <w:t>Practical subjects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consists</w:t>
            </w:r>
            <w:proofErr w:type="gramEnd"/>
            <w:r w:rsidRPr="005A303D">
              <w:rPr>
                <w:rFonts w:ascii="Times New Roman" w:hAnsi="Times New Roman" w:cs="Times New Roman"/>
                <w:b/>
                <w:bCs/>
                <w:sz w:val="21"/>
                <w:szCs w:val="21"/>
              </w:rPr>
              <w:t xml:space="preserve"> of 70 marks theory and 30</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marks internals. The college conducts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internal examination for 45 marks every semester. Along with this performance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in the class tests, attendance,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assignments are also considered to</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allot internal marks of 30.The valued</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answer scripts are given to the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students and discussed to improve their</w:t>
            </w:r>
          </w:p>
          <w:p w:rsidR="00714E7E" w:rsidRPr="005A303D" w:rsidRDefault="00714E7E" w:rsidP="00714E7E">
            <w:pPr>
              <w:rPr>
                <w:rFonts w:ascii="Times New Roman" w:hAnsi="Times New Roman" w:cs="Times New Roman"/>
              </w:rPr>
            </w:pPr>
            <w:proofErr w:type="gramStart"/>
            <w:r w:rsidRPr="005A303D">
              <w:rPr>
                <w:rFonts w:ascii="Times New Roman" w:hAnsi="Times New Roman" w:cs="Times New Roman"/>
                <w:b/>
                <w:bCs/>
                <w:sz w:val="21"/>
                <w:szCs w:val="21"/>
              </w:rPr>
              <w:t>performance</w:t>
            </w:r>
            <w:proofErr w:type="gramEnd"/>
            <w:r w:rsidRPr="005A303D">
              <w:rPr>
                <w:rFonts w:ascii="Times New Roman" w:hAnsi="Times New Roman" w:cs="Times New Roman"/>
                <w:b/>
                <w:bCs/>
                <w:sz w:val="21"/>
                <w:szCs w:val="21"/>
              </w:rPr>
              <w:t xml:space="preserve"> further.</w:t>
            </w:r>
          </w:p>
        </w:tc>
      </w:tr>
      <w:tr w:rsidR="00714E7E" w:rsidRPr="005A303D" w:rsidTr="00714E7E">
        <w:tc>
          <w:tcPr>
            <w:tcW w:w="3080" w:type="dxa"/>
          </w:tcPr>
          <w:p w:rsidR="00714E7E" w:rsidRPr="005A303D" w:rsidRDefault="00714E7E" w:rsidP="00714E7E">
            <w:pPr>
              <w:rPr>
                <w:rFonts w:ascii="Times New Roman" w:hAnsi="Times New Roman" w:cs="Times New Roman"/>
              </w:rPr>
            </w:pPr>
            <w:r w:rsidRPr="005A303D">
              <w:rPr>
                <w:rFonts w:ascii="Times New Roman" w:hAnsi="Times New Roman" w:cs="Times New Roman"/>
                <w:b/>
                <w:bCs/>
                <w:sz w:val="21"/>
                <w:szCs w:val="21"/>
              </w:rPr>
              <w:t>Research and Development</w:t>
            </w:r>
          </w:p>
        </w:tc>
        <w:tc>
          <w:tcPr>
            <w:tcW w:w="6526" w:type="dxa"/>
          </w:tcPr>
          <w:p w:rsidR="00714E7E" w:rsidRPr="005A303D" w:rsidRDefault="00714E7E" w:rsidP="005A303D">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Our institution facilitates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individual faculty members for their</w:t>
            </w:r>
          </w:p>
          <w:p w:rsidR="00714E7E" w:rsidRPr="005A303D" w:rsidRDefault="00714E7E" w:rsidP="005A303D">
            <w:pPr>
              <w:autoSpaceDE w:val="0"/>
              <w:autoSpaceDN w:val="0"/>
              <w:adjustRightInd w:val="0"/>
              <w:rPr>
                <w:rFonts w:ascii="Times New Roman" w:hAnsi="Times New Roman" w:cs="Times New Roman"/>
                <w:b/>
                <w:bCs/>
                <w:sz w:val="21"/>
                <w:szCs w:val="21"/>
              </w:rPr>
            </w:pPr>
            <w:proofErr w:type="gramStart"/>
            <w:r w:rsidRPr="005A303D">
              <w:rPr>
                <w:rFonts w:ascii="Times New Roman" w:hAnsi="Times New Roman" w:cs="Times New Roman"/>
                <w:b/>
                <w:bCs/>
                <w:sz w:val="21"/>
                <w:szCs w:val="21"/>
              </w:rPr>
              <w:t>further</w:t>
            </w:r>
            <w:proofErr w:type="gramEnd"/>
            <w:r w:rsidRPr="005A303D">
              <w:rPr>
                <w:rFonts w:ascii="Times New Roman" w:hAnsi="Times New Roman" w:cs="Times New Roman"/>
                <w:b/>
                <w:bCs/>
                <w:sz w:val="21"/>
                <w:szCs w:val="21"/>
              </w:rPr>
              <w:t xml:space="preserve"> studies by giving financial</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assistance and also providing flexible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timings for the research work. Even</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students are encouraged for the paper</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presentations in various conferences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conducted in other colleges. FDP</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programs are planed and faculty members</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are sent to the other colleges to</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participate in the seminars and</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conferences. Students and faculty</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articles are also published in the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college magazine.</w:t>
            </w:r>
          </w:p>
        </w:tc>
      </w:tr>
      <w:tr w:rsidR="00714E7E" w:rsidRPr="005A303D" w:rsidTr="00714E7E">
        <w:tc>
          <w:tcPr>
            <w:tcW w:w="3080"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Library, ICT and Physical</w:t>
            </w:r>
          </w:p>
          <w:p w:rsidR="00714E7E" w:rsidRPr="005A303D" w:rsidRDefault="00714E7E" w:rsidP="00714E7E">
            <w:pPr>
              <w:rPr>
                <w:rFonts w:ascii="Times New Roman" w:hAnsi="Times New Roman" w:cs="Times New Roman"/>
              </w:rPr>
            </w:pPr>
            <w:r w:rsidRPr="005A303D">
              <w:rPr>
                <w:rFonts w:ascii="Times New Roman" w:hAnsi="Times New Roman" w:cs="Times New Roman"/>
                <w:b/>
                <w:bCs/>
                <w:sz w:val="21"/>
                <w:szCs w:val="21"/>
              </w:rPr>
              <w:t>Infrastructure / Instrumentation</w:t>
            </w:r>
          </w:p>
        </w:tc>
        <w:tc>
          <w:tcPr>
            <w:tcW w:w="6526" w:type="dxa"/>
          </w:tcPr>
          <w:p w:rsidR="00714E7E" w:rsidRPr="00225C84" w:rsidRDefault="00714E7E" w:rsidP="00225C84">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Library is automated using lib-soft.</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Lib- soft is a multi use package web</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based and developed by a team of</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library professionals and software</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technicians for effective management of</w:t>
            </w:r>
            <w:r w:rsidR="005A303D">
              <w:rPr>
                <w:rFonts w:ascii="Times New Roman" w:hAnsi="Times New Roman" w:cs="Times New Roman"/>
                <w:b/>
                <w:bCs/>
                <w:sz w:val="21"/>
                <w:szCs w:val="21"/>
              </w:rPr>
              <w:t xml:space="preserve"> </w:t>
            </w:r>
            <w:r w:rsidRPr="005A303D">
              <w:rPr>
                <w:rFonts w:ascii="Times New Roman" w:hAnsi="Times New Roman" w:cs="Times New Roman"/>
                <w:b/>
                <w:bCs/>
                <w:sz w:val="21"/>
                <w:szCs w:val="21"/>
              </w:rPr>
              <w:t>a library from all aspects. It is</w:t>
            </w:r>
            <w:r w:rsidR="00A03738">
              <w:rPr>
                <w:rFonts w:ascii="Times New Roman" w:hAnsi="Times New Roman" w:cs="Times New Roman"/>
                <w:b/>
                <w:bCs/>
                <w:sz w:val="21"/>
                <w:szCs w:val="21"/>
              </w:rPr>
              <w:t xml:space="preserve"> </w:t>
            </w:r>
            <w:r w:rsidRPr="005A303D">
              <w:rPr>
                <w:rFonts w:ascii="Times New Roman" w:hAnsi="Times New Roman" w:cs="Times New Roman"/>
                <w:b/>
                <w:bCs/>
                <w:sz w:val="21"/>
                <w:szCs w:val="21"/>
              </w:rPr>
              <w:t>and developed to cater the</w:t>
            </w:r>
            <w:r w:rsidR="00A03738">
              <w:rPr>
                <w:rFonts w:ascii="Times New Roman" w:hAnsi="Times New Roman" w:cs="Times New Roman"/>
                <w:b/>
                <w:bCs/>
                <w:sz w:val="21"/>
                <w:szCs w:val="21"/>
              </w:rPr>
              <w:t xml:space="preserve"> </w:t>
            </w:r>
            <w:r w:rsidRPr="005A303D">
              <w:rPr>
                <w:rFonts w:ascii="Times New Roman" w:hAnsi="Times New Roman" w:cs="Times New Roman"/>
                <w:b/>
                <w:bCs/>
                <w:sz w:val="21"/>
                <w:szCs w:val="21"/>
              </w:rPr>
              <w:t>needs of various types of Libraries</w:t>
            </w:r>
            <w:r w:rsidR="00A03738">
              <w:rPr>
                <w:rFonts w:ascii="Times New Roman" w:hAnsi="Times New Roman" w:cs="Times New Roman"/>
                <w:b/>
                <w:bCs/>
                <w:sz w:val="21"/>
                <w:szCs w:val="21"/>
              </w:rPr>
              <w:t xml:space="preserve"> </w:t>
            </w:r>
            <w:r w:rsidRPr="005A303D">
              <w:rPr>
                <w:rFonts w:ascii="Times New Roman" w:hAnsi="Times New Roman" w:cs="Times New Roman"/>
                <w:b/>
                <w:bCs/>
                <w:sz w:val="21"/>
                <w:szCs w:val="21"/>
              </w:rPr>
              <w:t>such as university libraries, college</w:t>
            </w:r>
            <w:r w:rsidR="00A03738">
              <w:rPr>
                <w:rFonts w:ascii="Times New Roman" w:hAnsi="Times New Roman" w:cs="Times New Roman"/>
                <w:b/>
                <w:bCs/>
                <w:sz w:val="21"/>
                <w:szCs w:val="21"/>
              </w:rPr>
              <w:t xml:space="preserve"> </w:t>
            </w:r>
            <w:r w:rsidRPr="005A303D">
              <w:rPr>
                <w:rFonts w:ascii="Times New Roman" w:hAnsi="Times New Roman" w:cs="Times New Roman"/>
                <w:b/>
                <w:bCs/>
                <w:sz w:val="21"/>
                <w:szCs w:val="21"/>
              </w:rPr>
              <w:t>libraries, school libraries etc and the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software package </w:t>
            </w:r>
            <w:proofErr w:type="gramStart"/>
            <w:r w:rsidRPr="005A303D">
              <w:rPr>
                <w:rFonts w:ascii="Times New Roman" w:hAnsi="Times New Roman" w:cs="Times New Roman"/>
                <w:b/>
                <w:bCs/>
                <w:sz w:val="21"/>
                <w:szCs w:val="21"/>
              </w:rPr>
              <w:t>has</w:t>
            </w:r>
            <w:proofErr w:type="gramEnd"/>
            <w:r w:rsidRPr="005A303D">
              <w:rPr>
                <w:rFonts w:ascii="Times New Roman" w:hAnsi="Times New Roman" w:cs="Times New Roman"/>
                <w:b/>
                <w:bCs/>
                <w:sz w:val="21"/>
                <w:szCs w:val="21"/>
              </w:rPr>
              <w:t xml:space="preserve"> proved its</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efficiency in the management of</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library. Online journals are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subscribed. ICT and Physical</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Infrastructure: Classes are equipped</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with projectors, smart boards with LAN</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and WI-FI. Audio visual aids are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provided in library browsing </w:t>
            </w:r>
            <w:proofErr w:type="spellStart"/>
            <w:r w:rsidRPr="005A303D">
              <w:rPr>
                <w:rFonts w:ascii="Times New Roman" w:hAnsi="Times New Roman" w:cs="Times New Roman"/>
                <w:b/>
                <w:bCs/>
                <w:sz w:val="21"/>
                <w:szCs w:val="21"/>
              </w:rPr>
              <w:t>center</w:t>
            </w:r>
            <w:proofErr w:type="spellEnd"/>
            <w:r w:rsidRPr="005A303D">
              <w:rPr>
                <w:rFonts w:ascii="Times New Roman" w:hAnsi="Times New Roman" w:cs="Times New Roman"/>
                <w:b/>
                <w:bCs/>
                <w:sz w:val="21"/>
                <w:szCs w:val="21"/>
              </w:rPr>
              <w:t>.</w:t>
            </w:r>
          </w:p>
        </w:tc>
      </w:tr>
      <w:tr w:rsidR="00714E7E" w:rsidRPr="005A303D" w:rsidTr="00714E7E">
        <w:tc>
          <w:tcPr>
            <w:tcW w:w="3080"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Human Resource Management</w:t>
            </w:r>
          </w:p>
        </w:tc>
        <w:tc>
          <w:tcPr>
            <w:tcW w:w="6526" w:type="dxa"/>
          </w:tcPr>
          <w:p w:rsidR="00714E7E" w:rsidRPr="005A303D" w:rsidRDefault="00714E7E"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The faculty of the institution are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considered as assets of the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institution. Professional development</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programs are organised for upgrading</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their knowledge. Faculty pursuing</w:t>
            </w:r>
            <w:r w:rsidR="00225C84">
              <w:rPr>
                <w:rFonts w:ascii="Times New Roman" w:hAnsi="Times New Roman" w:cs="Times New Roman"/>
                <w:b/>
                <w:bCs/>
                <w:sz w:val="21"/>
                <w:szCs w:val="21"/>
              </w:rPr>
              <w:t xml:space="preserve"> </w:t>
            </w:r>
            <w:proofErr w:type="gramStart"/>
            <w:r w:rsidRPr="005A303D">
              <w:rPr>
                <w:rFonts w:ascii="Times New Roman" w:hAnsi="Times New Roman" w:cs="Times New Roman"/>
                <w:b/>
                <w:bCs/>
                <w:sz w:val="21"/>
                <w:szCs w:val="21"/>
              </w:rPr>
              <w:t>research is given flexibility in</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timings and are</w:t>
            </w:r>
            <w:proofErr w:type="gramEnd"/>
            <w:r w:rsidRPr="005A303D">
              <w:rPr>
                <w:rFonts w:ascii="Times New Roman" w:hAnsi="Times New Roman" w:cs="Times New Roman"/>
                <w:b/>
                <w:bCs/>
                <w:sz w:val="21"/>
                <w:szCs w:val="21"/>
              </w:rPr>
              <w:t xml:space="preserve"> also provided</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remuneration during their research</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period. </w:t>
            </w:r>
            <w:proofErr w:type="gramStart"/>
            <w:r w:rsidRPr="005A303D">
              <w:rPr>
                <w:rFonts w:ascii="Times New Roman" w:hAnsi="Times New Roman" w:cs="Times New Roman"/>
                <w:b/>
                <w:bCs/>
                <w:sz w:val="21"/>
                <w:szCs w:val="21"/>
              </w:rPr>
              <w:t>Time</w:t>
            </w:r>
            <w:proofErr w:type="gramEnd"/>
            <w:r w:rsidRPr="005A303D">
              <w:rPr>
                <w:rFonts w:ascii="Times New Roman" w:hAnsi="Times New Roman" w:cs="Times New Roman"/>
                <w:b/>
                <w:bCs/>
                <w:sz w:val="21"/>
                <w:szCs w:val="21"/>
              </w:rPr>
              <w:t xml:space="preserve"> bound increments are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provided .They are encouraged to attend</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FDP’s, seminars and conferences by</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offering financial assistance. Teachers</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are also motivated to present and</w:t>
            </w:r>
          </w:p>
          <w:p w:rsidR="00714E7E" w:rsidRPr="005A303D" w:rsidRDefault="00714E7E" w:rsidP="00714E7E">
            <w:pPr>
              <w:autoSpaceDE w:val="0"/>
              <w:autoSpaceDN w:val="0"/>
              <w:adjustRightInd w:val="0"/>
              <w:rPr>
                <w:rFonts w:ascii="Times New Roman" w:hAnsi="Times New Roman" w:cs="Times New Roman"/>
                <w:b/>
                <w:bCs/>
                <w:sz w:val="21"/>
                <w:szCs w:val="21"/>
              </w:rPr>
            </w:pPr>
            <w:proofErr w:type="gramStart"/>
            <w:r w:rsidRPr="005A303D">
              <w:rPr>
                <w:rFonts w:ascii="Times New Roman" w:hAnsi="Times New Roman" w:cs="Times New Roman"/>
                <w:b/>
                <w:bCs/>
                <w:sz w:val="21"/>
                <w:szCs w:val="21"/>
              </w:rPr>
              <w:t>publish</w:t>
            </w:r>
            <w:proofErr w:type="gramEnd"/>
            <w:r w:rsidRPr="005A303D">
              <w:rPr>
                <w:rFonts w:ascii="Times New Roman" w:hAnsi="Times New Roman" w:cs="Times New Roman"/>
                <w:b/>
                <w:bCs/>
                <w:sz w:val="21"/>
                <w:szCs w:val="21"/>
              </w:rPr>
              <w:t xml:space="preserve"> research papers as well books.</w:t>
            </w:r>
          </w:p>
        </w:tc>
      </w:tr>
      <w:tr w:rsidR="00714E7E" w:rsidRPr="005A303D" w:rsidTr="00714E7E">
        <w:tc>
          <w:tcPr>
            <w:tcW w:w="3080" w:type="dxa"/>
          </w:tcPr>
          <w:p w:rsidR="00714E7E" w:rsidRPr="005A303D" w:rsidRDefault="005A303D"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lastRenderedPageBreak/>
              <w:t>Industry Interaction / Collaboration</w:t>
            </w:r>
          </w:p>
        </w:tc>
        <w:tc>
          <w:tcPr>
            <w:tcW w:w="6526" w:type="dxa"/>
          </w:tcPr>
          <w:p w:rsidR="005A303D" w:rsidRPr="005A303D" w:rsidRDefault="00714E7E" w:rsidP="005A303D">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Our institution have MOU’S signed</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with few organisations like “global</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Concern India- NGO to give Knowledge</w:t>
            </w:r>
            <w:r w:rsidR="005A303D" w:rsidRPr="005A303D">
              <w:rPr>
                <w:rFonts w:ascii="Times New Roman" w:hAnsi="Times New Roman" w:cs="Times New Roman"/>
                <w:b/>
                <w:bCs/>
                <w:sz w:val="21"/>
                <w:szCs w:val="21"/>
              </w:rPr>
              <w:t xml:space="preserve"> about ART of Giving and Lending Helping</w:t>
            </w:r>
            <w:r w:rsidR="00225C84">
              <w:rPr>
                <w:rFonts w:ascii="Times New Roman" w:hAnsi="Times New Roman" w:cs="Times New Roman"/>
                <w:b/>
                <w:bCs/>
                <w:sz w:val="21"/>
                <w:szCs w:val="21"/>
              </w:rPr>
              <w:t xml:space="preserve"> </w:t>
            </w:r>
            <w:r w:rsidR="005A303D" w:rsidRPr="005A303D">
              <w:rPr>
                <w:rFonts w:ascii="Times New Roman" w:hAnsi="Times New Roman" w:cs="Times New Roman"/>
                <w:b/>
                <w:bCs/>
                <w:sz w:val="21"/>
                <w:szCs w:val="21"/>
              </w:rPr>
              <w:t>hand towards society” ,</w:t>
            </w:r>
            <w:proofErr w:type="spellStart"/>
            <w:r w:rsidR="005A303D" w:rsidRPr="005A303D">
              <w:rPr>
                <w:rFonts w:ascii="Times New Roman" w:hAnsi="Times New Roman" w:cs="Times New Roman"/>
                <w:b/>
                <w:bCs/>
                <w:sz w:val="21"/>
                <w:szCs w:val="21"/>
              </w:rPr>
              <w:t>Indira</w:t>
            </w:r>
            <w:proofErr w:type="spellEnd"/>
            <w:r w:rsidR="005A303D" w:rsidRPr="005A303D">
              <w:rPr>
                <w:rFonts w:ascii="Times New Roman" w:hAnsi="Times New Roman" w:cs="Times New Roman"/>
                <w:b/>
                <w:bCs/>
                <w:sz w:val="21"/>
                <w:szCs w:val="21"/>
              </w:rPr>
              <w:t xml:space="preserve"> memorial</w:t>
            </w:r>
          </w:p>
          <w:p w:rsidR="005A303D" w:rsidRPr="005A303D" w:rsidRDefault="005A303D" w:rsidP="005A303D">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English school - To share Knowledge</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among students, Magic Bus Foundation for the Career guidance program and also </w:t>
            </w:r>
            <w:proofErr w:type="spellStart"/>
            <w:r w:rsidRPr="005A303D">
              <w:rPr>
                <w:rFonts w:ascii="Times New Roman" w:hAnsi="Times New Roman" w:cs="Times New Roman"/>
                <w:b/>
                <w:bCs/>
                <w:sz w:val="21"/>
                <w:szCs w:val="21"/>
              </w:rPr>
              <w:t>Sheshadripuram</w:t>
            </w:r>
            <w:proofErr w:type="spellEnd"/>
            <w:r w:rsidRPr="005A303D">
              <w:rPr>
                <w:rFonts w:ascii="Times New Roman" w:hAnsi="Times New Roman" w:cs="Times New Roman"/>
                <w:b/>
                <w:bCs/>
                <w:sz w:val="21"/>
                <w:szCs w:val="21"/>
              </w:rPr>
              <w:t xml:space="preserve"> Evening college for activities of Business Lab and placements a</w:t>
            </w:r>
            <w:r w:rsidR="00225C84">
              <w:rPr>
                <w:rFonts w:ascii="Times New Roman" w:hAnsi="Times New Roman" w:cs="Times New Roman"/>
                <w:b/>
                <w:bCs/>
                <w:sz w:val="21"/>
                <w:szCs w:val="21"/>
              </w:rPr>
              <w:t>re organised under “</w:t>
            </w:r>
            <w:proofErr w:type="spellStart"/>
            <w:r w:rsidR="00225C84">
              <w:rPr>
                <w:rFonts w:ascii="Times New Roman" w:hAnsi="Times New Roman" w:cs="Times New Roman"/>
                <w:b/>
                <w:bCs/>
                <w:sz w:val="21"/>
                <w:szCs w:val="21"/>
              </w:rPr>
              <w:t>Parishodhan</w:t>
            </w:r>
            <w:proofErr w:type="spellEnd"/>
            <w:r w:rsidRPr="005A303D">
              <w:rPr>
                <w:rFonts w:ascii="Times New Roman" w:hAnsi="Times New Roman" w:cs="Times New Roman"/>
                <w:b/>
                <w:bCs/>
                <w:sz w:val="21"/>
                <w:szCs w:val="21"/>
              </w:rPr>
              <w:t xml:space="preserve"> Cell</w:t>
            </w:r>
            <w:r w:rsidR="00225C84">
              <w:rPr>
                <w:rFonts w:ascii="Times New Roman" w:hAnsi="Times New Roman" w:cs="Times New Roman"/>
                <w:b/>
                <w:bCs/>
                <w:sz w:val="21"/>
                <w:szCs w:val="21"/>
              </w:rPr>
              <w:t>”</w:t>
            </w:r>
            <w:r w:rsidRPr="005A303D">
              <w:rPr>
                <w:rFonts w:ascii="Times New Roman" w:hAnsi="Times New Roman" w:cs="Times New Roman"/>
                <w:b/>
                <w:bCs/>
                <w:sz w:val="21"/>
                <w:szCs w:val="21"/>
              </w:rPr>
              <w:t>.</w:t>
            </w:r>
            <w:r w:rsidR="00225C84">
              <w:rPr>
                <w:rFonts w:ascii="Times New Roman" w:hAnsi="Times New Roman" w:cs="Times New Roman"/>
                <w:b/>
                <w:bCs/>
                <w:sz w:val="21"/>
                <w:szCs w:val="21"/>
              </w:rPr>
              <w:t xml:space="preserve"> </w:t>
            </w:r>
            <w:r w:rsidRPr="005A303D">
              <w:rPr>
                <w:rFonts w:ascii="Times New Roman" w:hAnsi="Times New Roman" w:cs="Times New Roman"/>
                <w:b/>
                <w:bCs/>
                <w:sz w:val="21"/>
                <w:szCs w:val="21"/>
              </w:rPr>
              <w:t xml:space="preserve">Faculty Exchange programme is also conducted. </w:t>
            </w:r>
          </w:p>
        </w:tc>
      </w:tr>
      <w:tr w:rsidR="005A303D" w:rsidRPr="005A303D" w:rsidTr="00714E7E">
        <w:tc>
          <w:tcPr>
            <w:tcW w:w="3080" w:type="dxa"/>
          </w:tcPr>
          <w:p w:rsidR="005A303D" w:rsidRPr="005A303D" w:rsidRDefault="005A303D" w:rsidP="00714E7E">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Admission of Students</w:t>
            </w:r>
          </w:p>
        </w:tc>
        <w:tc>
          <w:tcPr>
            <w:tcW w:w="6526" w:type="dxa"/>
          </w:tcPr>
          <w:p w:rsidR="005A303D" w:rsidRPr="005A303D" w:rsidRDefault="005A303D" w:rsidP="005A303D">
            <w:pPr>
              <w:autoSpaceDE w:val="0"/>
              <w:autoSpaceDN w:val="0"/>
              <w:adjustRightInd w:val="0"/>
              <w:rPr>
                <w:rFonts w:ascii="Times New Roman" w:hAnsi="Times New Roman" w:cs="Times New Roman"/>
                <w:b/>
                <w:bCs/>
                <w:sz w:val="21"/>
                <w:szCs w:val="21"/>
              </w:rPr>
            </w:pPr>
            <w:r w:rsidRPr="005A303D">
              <w:rPr>
                <w:rFonts w:ascii="Times New Roman" w:hAnsi="Times New Roman" w:cs="Times New Roman"/>
                <w:b/>
                <w:bCs/>
                <w:sz w:val="21"/>
                <w:szCs w:val="21"/>
              </w:rPr>
              <w:t>The institution even though run by Central Muslim Association has secular vision to provide admission irrespective of caste creed and religion. Students who have secured less percentage also are given admission. Scholarships are provided to the maximum number of the students. Most of the senior teachers also</w:t>
            </w:r>
            <w:r w:rsidR="00225C84">
              <w:rPr>
                <w:rFonts w:ascii="Times New Roman" w:hAnsi="Times New Roman" w:cs="Times New Roman"/>
                <w:b/>
                <w:bCs/>
                <w:sz w:val="21"/>
                <w:szCs w:val="21"/>
              </w:rPr>
              <w:t xml:space="preserve"> </w:t>
            </w:r>
            <w:proofErr w:type="gramStart"/>
            <w:r w:rsidRPr="005A303D">
              <w:rPr>
                <w:rFonts w:ascii="Times New Roman" w:hAnsi="Times New Roman" w:cs="Times New Roman"/>
                <w:b/>
                <w:bCs/>
                <w:sz w:val="21"/>
                <w:szCs w:val="21"/>
              </w:rPr>
              <w:t>provides</w:t>
            </w:r>
            <w:proofErr w:type="gramEnd"/>
            <w:r w:rsidRPr="005A303D">
              <w:rPr>
                <w:rFonts w:ascii="Times New Roman" w:hAnsi="Times New Roman" w:cs="Times New Roman"/>
                <w:b/>
                <w:bCs/>
                <w:sz w:val="21"/>
                <w:szCs w:val="21"/>
              </w:rPr>
              <w:t xml:space="preserve"> financial help to the deserving candidates. The students are also given flexibility in payment of the fee in number of instalments.</w:t>
            </w:r>
          </w:p>
        </w:tc>
      </w:tr>
    </w:tbl>
    <w:p w:rsidR="00714E7E" w:rsidRPr="005A303D" w:rsidRDefault="00714E7E" w:rsidP="00714E7E">
      <w:pPr>
        <w:rPr>
          <w:rFonts w:ascii="Times New Roman" w:hAnsi="Times New Roman" w:cs="Times New Roman"/>
        </w:rPr>
      </w:pPr>
    </w:p>
    <w:sectPr w:rsidR="00714E7E" w:rsidRPr="005A303D" w:rsidSect="00F443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14E7E"/>
    <w:rsid w:val="00225C84"/>
    <w:rsid w:val="005249AC"/>
    <w:rsid w:val="005A303D"/>
    <w:rsid w:val="00714E7E"/>
    <w:rsid w:val="00822A4F"/>
    <w:rsid w:val="00A03738"/>
    <w:rsid w:val="00A413F5"/>
    <w:rsid w:val="00F44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3</cp:revision>
  <dcterms:created xsi:type="dcterms:W3CDTF">2021-12-22T10:03:00Z</dcterms:created>
  <dcterms:modified xsi:type="dcterms:W3CDTF">2021-12-23T09:59:00Z</dcterms:modified>
</cp:coreProperties>
</file>